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D01CA" w14:textId="1FE341FD" w:rsidR="00284486" w:rsidRDefault="00284486" w:rsidP="00284486">
      <w:pPr>
        <w:pStyle w:val="NormalWeb"/>
        <w:shd w:val="clear" w:color="auto" w:fill="FFFFFF"/>
        <w:spacing w:before="0" w:beforeAutospacing="0" w:after="0" w:afterAutospacing="0" w:line="300" w:lineRule="atLeast"/>
        <w:jc w:val="right"/>
        <w:rPr>
          <w:rStyle w:val="Strong"/>
          <w:rFonts w:ascii="Gill Sans MT" w:hAnsi="Gill Sans MT" w:cs="Arial"/>
          <w:color w:val="000000"/>
        </w:rPr>
      </w:pPr>
      <w:r>
        <w:rPr>
          <w:rFonts w:ascii="Gill Sans MT" w:hAnsi="Gill Sans MT" w:cs="Arial"/>
          <w:b/>
          <w:bCs/>
          <w:noProof/>
          <w:color w:val="000000"/>
        </w:rPr>
        <w:drawing>
          <wp:inline distT="0" distB="0" distL="0" distR="0" wp14:anchorId="6C674446" wp14:editId="624CE21F">
            <wp:extent cx="1686560" cy="1133856"/>
            <wp:effectExtent l="0" t="0" r="8890" b="952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AT.jpg"/>
                    <pic:cNvPicPr/>
                  </pic:nvPicPr>
                  <pic:blipFill>
                    <a:blip r:embed="rId5">
                      <a:extLst>
                        <a:ext uri="{28A0092B-C50C-407E-A947-70E740481C1C}">
                          <a14:useLocalDpi xmlns:a14="http://schemas.microsoft.com/office/drawing/2010/main" val="0"/>
                        </a:ext>
                      </a:extLst>
                    </a:blip>
                    <a:stretch>
                      <a:fillRect/>
                    </a:stretch>
                  </pic:blipFill>
                  <pic:spPr>
                    <a:xfrm>
                      <a:off x="0" y="0"/>
                      <a:ext cx="1733880" cy="1165669"/>
                    </a:xfrm>
                    <a:prstGeom prst="rect">
                      <a:avLst/>
                    </a:prstGeom>
                  </pic:spPr>
                </pic:pic>
              </a:graphicData>
            </a:graphic>
          </wp:inline>
        </w:drawing>
      </w:r>
    </w:p>
    <w:p w14:paraId="69D27648" w14:textId="68D2D8D1" w:rsidR="002C5D80" w:rsidRPr="002C5D80" w:rsidRDefault="002C5D80" w:rsidP="002C5D80">
      <w:pPr>
        <w:shd w:val="clear" w:color="auto" w:fill="FFFFFF"/>
        <w:spacing w:line="300" w:lineRule="atLeast"/>
        <w:rPr>
          <w:rFonts w:ascii="Gill Sans MT" w:hAnsi="Gill Sans MT" w:cs="Arial"/>
          <w:color w:val="000000"/>
          <w:sz w:val="20"/>
          <w:szCs w:val="20"/>
        </w:rPr>
      </w:pPr>
      <w:r w:rsidRPr="002C5D80">
        <w:rPr>
          <w:rFonts w:ascii="Arial" w:hAnsi="Arial" w:cs="Arial"/>
          <w:b/>
          <w:bCs/>
          <w:color w:val="000000"/>
        </w:rPr>
        <w:br/>
      </w:r>
      <w:r w:rsidRPr="002C5D80">
        <w:rPr>
          <w:rFonts w:ascii="Gill Sans MT" w:hAnsi="Gill Sans MT" w:cs="Arial"/>
          <w:b/>
          <w:bCs/>
          <w:color w:val="000000"/>
        </w:rPr>
        <w:t>The Diocese of Gloucester Academies Trust</w:t>
      </w:r>
      <w:r>
        <w:rPr>
          <w:rFonts w:ascii="Gill Sans MT" w:hAnsi="Gill Sans MT" w:cs="Arial"/>
          <w:color w:val="000000"/>
          <w:sz w:val="20"/>
          <w:szCs w:val="20"/>
        </w:rPr>
        <w:t xml:space="preserve"> </w:t>
      </w:r>
      <w:r w:rsidRPr="002C5D80">
        <w:rPr>
          <w:rFonts w:ascii="Gill Sans MT" w:hAnsi="Gill Sans MT" w:cs="Arial"/>
          <w:b/>
          <w:bCs/>
          <w:color w:val="000000"/>
        </w:rPr>
        <w:t>Gender Pay Gap Data 2018/19</w:t>
      </w:r>
    </w:p>
    <w:p w14:paraId="29F3DC84" w14:textId="77777777" w:rsidR="002C5D80" w:rsidRDefault="002C5D80" w:rsidP="002C5D80">
      <w:pPr>
        <w:shd w:val="clear" w:color="auto" w:fill="FFFFFF"/>
        <w:spacing w:line="300" w:lineRule="atLeast"/>
        <w:rPr>
          <w:rFonts w:ascii="Gill Sans MT" w:hAnsi="Gill Sans MT" w:cs="Arial"/>
          <w:color w:val="000000"/>
        </w:rPr>
      </w:pPr>
    </w:p>
    <w:p w14:paraId="4A109AF2" w14:textId="10B92602" w:rsidR="002C5D80" w:rsidRPr="002C5D80" w:rsidRDefault="002C5D80" w:rsidP="002C5D80">
      <w:pPr>
        <w:shd w:val="clear" w:color="auto" w:fill="FFFFFF"/>
        <w:spacing w:line="300" w:lineRule="atLeast"/>
        <w:rPr>
          <w:rFonts w:ascii="Gill Sans MT" w:hAnsi="Gill Sans MT" w:cs="Arial"/>
          <w:color w:val="000000"/>
          <w:sz w:val="20"/>
          <w:szCs w:val="20"/>
        </w:rPr>
      </w:pPr>
      <w:r w:rsidRPr="002C5D80">
        <w:rPr>
          <w:rFonts w:ascii="Gill Sans MT" w:hAnsi="Gill Sans MT" w:cs="Arial"/>
          <w:color w:val="000000"/>
        </w:rPr>
        <w:t>In accordance with the Equality Act 2010 (Gender Pay Gap Information) Regulations 2017 the Diocese of Gloucester Academies Trust is required to publish information about pay gaps between male and female employees.  The overall gender pay gap us defined as the difference between the mean (average) or median (actual midpoint) hourly rate of pay of male and female employees. </w:t>
      </w:r>
    </w:p>
    <w:p w14:paraId="7A151A3D" w14:textId="41B18891" w:rsidR="002C5D80" w:rsidRPr="002C5D80" w:rsidRDefault="002C5D80" w:rsidP="002C5D80">
      <w:pPr>
        <w:numPr>
          <w:ilvl w:val="0"/>
          <w:numId w:val="14"/>
        </w:numPr>
        <w:shd w:val="clear" w:color="auto" w:fill="FFFFFF"/>
        <w:spacing w:before="100" w:beforeAutospacing="1" w:after="100" w:afterAutospacing="1" w:line="300" w:lineRule="atLeast"/>
        <w:rPr>
          <w:rFonts w:ascii="Gill Sans MT" w:hAnsi="Gill Sans MT" w:cs="Arial"/>
          <w:color w:val="313131"/>
          <w:sz w:val="21"/>
          <w:szCs w:val="21"/>
        </w:rPr>
      </w:pPr>
      <w:r w:rsidRPr="002C5D80">
        <w:rPr>
          <w:rFonts w:ascii="Gill Sans MT" w:hAnsi="Gill Sans MT" w:cs="Arial"/>
          <w:color w:val="313131"/>
        </w:rPr>
        <w:t xml:space="preserve">Difference in mean hourly rate of pay – mean          </w:t>
      </w:r>
      <w:r>
        <w:rPr>
          <w:rFonts w:ascii="Gill Sans MT" w:hAnsi="Gill Sans MT" w:cs="Arial"/>
          <w:color w:val="313131"/>
        </w:rPr>
        <w:tab/>
      </w:r>
      <w:r w:rsidRPr="002C5D80">
        <w:rPr>
          <w:rFonts w:ascii="Gill Sans MT" w:hAnsi="Gill Sans MT" w:cs="Arial"/>
          <w:color w:val="313131"/>
        </w:rPr>
        <w:t>32.7%</w:t>
      </w:r>
    </w:p>
    <w:p w14:paraId="169C9EAF" w14:textId="5214219B" w:rsidR="002C5D80" w:rsidRPr="002C5D80" w:rsidRDefault="002C5D80" w:rsidP="002C5D80">
      <w:pPr>
        <w:numPr>
          <w:ilvl w:val="0"/>
          <w:numId w:val="14"/>
        </w:numPr>
        <w:shd w:val="clear" w:color="auto" w:fill="FFFFFF"/>
        <w:spacing w:before="100" w:beforeAutospacing="1" w:after="100" w:afterAutospacing="1" w:line="300" w:lineRule="atLeast"/>
        <w:rPr>
          <w:rFonts w:ascii="Gill Sans MT" w:hAnsi="Gill Sans MT" w:cs="Arial"/>
          <w:color w:val="313131"/>
          <w:sz w:val="21"/>
          <w:szCs w:val="21"/>
        </w:rPr>
      </w:pPr>
      <w:r w:rsidRPr="002C5D80">
        <w:rPr>
          <w:rFonts w:ascii="Gill Sans MT" w:hAnsi="Gill Sans MT" w:cs="Arial"/>
          <w:color w:val="313131"/>
        </w:rPr>
        <w:t>Difference in median hourly rate of pay – median    </w:t>
      </w:r>
      <w:r>
        <w:rPr>
          <w:rFonts w:ascii="Gill Sans MT" w:hAnsi="Gill Sans MT" w:cs="Arial"/>
          <w:color w:val="313131"/>
        </w:rPr>
        <w:tab/>
      </w:r>
      <w:r w:rsidRPr="002C5D80">
        <w:rPr>
          <w:rFonts w:ascii="Gill Sans MT" w:hAnsi="Gill Sans MT" w:cs="Arial"/>
          <w:color w:val="313131"/>
        </w:rPr>
        <w:t>46.7%</w:t>
      </w:r>
    </w:p>
    <w:p w14:paraId="11805141" w14:textId="365766EB" w:rsidR="002C5D80" w:rsidRPr="002C5D80" w:rsidRDefault="002C5D80" w:rsidP="002C5D80">
      <w:pPr>
        <w:numPr>
          <w:ilvl w:val="0"/>
          <w:numId w:val="14"/>
        </w:numPr>
        <w:shd w:val="clear" w:color="auto" w:fill="FFFFFF"/>
        <w:spacing w:before="100" w:beforeAutospacing="1" w:after="100" w:afterAutospacing="1" w:line="300" w:lineRule="atLeast"/>
        <w:rPr>
          <w:rFonts w:ascii="Gill Sans MT" w:hAnsi="Gill Sans MT" w:cs="Arial"/>
          <w:color w:val="313131"/>
          <w:sz w:val="21"/>
          <w:szCs w:val="21"/>
        </w:rPr>
      </w:pPr>
      <w:r w:rsidRPr="002C5D80">
        <w:rPr>
          <w:rFonts w:ascii="Gill Sans MT" w:hAnsi="Gill Sans MT" w:cs="Arial"/>
          <w:color w:val="313131"/>
        </w:rPr>
        <w:t>Difference in mean bonus pay – mean                     </w:t>
      </w:r>
      <w:proofErr w:type="gramStart"/>
      <w:r>
        <w:rPr>
          <w:rFonts w:ascii="Gill Sans MT" w:hAnsi="Gill Sans MT" w:cs="Arial"/>
          <w:color w:val="313131"/>
        </w:rPr>
        <w:tab/>
      </w:r>
      <w:r w:rsidRPr="002C5D80">
        <w:rPr>
          <w:rFonts w:ascii="Gill Sans MT" w:hAnsi="Gill Sans MT" w:cs="Arial"/>
          <w:color w:val="313131"/>
        </w:rPr>
        <w:t>  0</w:t>
      </w:r>
      <w:proofErr w:type="gramEnd"/>
      <w:r w:rsidRPr="002C5D80">
        <w:rPr>
          <w:rFonts w:ascii="Gill Sans MT" w:hAnsi="Gill Sans MT" w:cs="Arial"/>
          <w:color w:val="313131"/>
        </w:rPr>
        <w:t>%</w:t>
      </w:r>
    </w:p>
    <w:p w14:paraId="02B9EE81" w14:textId="34E786DA" w:rsidR="002C5D80" w:rsidRPr="002C5D80" w:rsidRDefault="002C5D80" w:rsidP="002C5D80">
      <w:pPr>
        <w:numPr>
          <w:ilvl w:val="0"/>
          <w:numId w:val="14"/>
        </w:numPr>
        <w:shd w:val="clear" w:color="auto" w:fill="FFFFFF"/>
        <w:spacing w:before="100" w:beforeAutospacing="1" w:after="100" w:afterAutospacing="1" w:line="300" w:lineRule="atLeast"/>
        <w:rPr>
          <w:rFonts w:ascii="Gill Sans MT" w:hAnsi="Gill Sans MT" w:cs="Arial"/>
          <w:color w:val="313131"/>
          <w:sz w:val="21"/>
          <w:szCs w:val="21"/>
        </w:rPr>
      </w:pPr>
      <w:r w:rsidRPr="002C5D80">
        <w:rPr>
          <w:rFonts w:ascii="Gill Sans MT" w:hAnsi="Gill Sans MT" w:cs="Arial"/>
          <w:color w:val="313131"/>
        </w:rPr>
        <w:t>Difference in median bonus pay – median</w:t>
      </w:r>
      <w:r>
        <w:rPr>
          <w:rFonts w:ascii="Gill Sans MT" w:hAnsi="Gill Sans MT" w:cs="Arial"/>
          <w:color w:val="313131"/>
        </w:rPr>
        <w:tab/>
      </w:r>
      <w:r>
        <w:rPr>
          <w:rFonts w:ascii="Gill Sans MT" w:hAnsi="Gill Sans MT" w:cs="Arial"/>
          <w:color w:val="313131"/>
        </w:rPr>
        <w:tab/>
      </w:r>
      <w:proofErr w:type="gramStart"/>
      <w:r>
        <w:rPr>
          <w:rFonts w:ascii="Gill Sans MT" w:hAnsi="Gill Sans MT" w:cs="Arial"/>
          <w:color w:val="313131"/>
        </w:rPr>
        <w:tab/>
        <w:t xml:space="preserve">  </w:t>
      </w:r>
      <w:r w:rsidRPr="002C5D80">
        <w:rPr>
          <w:rFonts w:ascii="Gill Sans MT" w:hAnsi="Gill Sans MT" w:cs="Arial"/>
          <w:color w:val="313131"/>
        </w:rPr>
        <w:t>0</w:t>
      </w:r>
      <w:proofErr w:type="gramEnd"/>
      <w:r w:rsidRPr="002C5D80">
        <w:rPr>
          <w:rFonts w:ascii="Gill Sans MT" w:hAnsi="Gill Sans MT" w:cs="Arial"/>
          <w:color w:val="313131"/>
        </w:rPr>
        <w:t>%</w:t>
      </w:r>
    </w:p>
    <w:p w14:paraId="31FF6DB5" w14:textId="77777777" w:rsidR="002C5D80" w:rsidRPr="002C5D80" w:rsidRDefault="002C5D80" w:rsidP="002C5D80">
      <w:pPr>
        <w:numPr>
          <w:ilvl w:val="0"/>
          <w:numId w:val="14"/>
        </w:numPr>
        <w:shd w:val="clear" w:color="auto" w:fill="FFFFFF"/>
        <w:spacing w:before="100" w:beforeAutospacing="1" w:line="300" w:lineRule="atLeast"/>
        <w:rPr>
          <w:rFonts w:ascii="Gill Sans MT" w:hAnsi="Gill Sans MT" w:cs="Arial"/>
          <w:color w:val="313131"/>
          <w:sz w:val="21"/>
          <w:szCs w:val="21"/>
        </w:rPr>
      </w:pPr>
      <w:r w:rsidRPr="002C5D80">
        <w:rPr>
          <w:rFonts w:ascii="Gill Sans MT" w:hAnsi="Gill Sans MT" w:cs="Arial"/>
          <w:color w:val="313131"/>
        </w:rPr>
        <w:t>Percentage of employees who received bonus pay   Male                Female</w:t>
      </w:r>
    </w:p>
    <w:p w14:paraId="2F207DFE" w14:textId="3A27ED3F" w:rsidR="002C5D80" w:rsidRPr="002C5D80" w:rsidRDefault="002C5D80" w:rsidP="002C5D80">
      <w:pPr>
        <w:shd w:val="clear" w:color="auto" w:fill="FFFFFF"/>
        <w:spacing w:line="300" w:lineRule="atLeast"/>
        <w:ind w:left="5040"/>
        <w:rPr>
          <w:rFonts w:ascii="Gill Sans MT" w:hAnsi="Gill Sans MT" w:cs="Arial"/>
          <w:color w:val="000000"/>
          <w:sz w:val="20"/>
          <w:szCs w:val="20"/>
        </w:rPr>
      </w:pPr>
      <w:r w:rsidRPr="002C5D80">
        <w:rPr>
          <w:rFonts w:ascii="Gill Sans MT" w:hAnsi="Gill Sans MT" w:cs="Arial"/>
          <w:color w:val="000000"/>
        </w:rPr>
        <w:t xml:space="preserve">   </w:t>
      </w:r>
      <w:r>
        <w:rPr>
          <w:rFonts w:ascii="Gill Sans MT" w:hAnsi="Gill Sans MT" w:cs="Arial"/>
          <w:color w:val="000000"/>
        </w:rPr>
        <w:tab/>
        <w:t xml:space="preserve">  </w:t>
      </w:r>
      <w:r w:rsidRPr="002C5D80">
        <w:rPr>
          <w:rFonts w:ascii="Gill Sans MT" w:hAnsi="Gill Sans MT" w:cs="Arial"/>
          <w:color w:val="000000"/>
        </w:rPr>
        <w:t>0%                  0%      </w:t>
      </w:r>
    </w:p>
    <w:p w14:paraId="0C8E3D76" w14:textId="77777777" w:rsidR="002C5D80" w:rsidRPr="002C5D80" w:rsidRDefault="002C5D80" w:rsidP="002C5D80">
      <w:pPr>
        <w:numPr>
          <w:ilvl w:val="0"/>
          <w:numId w:val="15"/>
        </w:numPr>
        <w:shd w:val="clear" w:color="auto" w:fill="FFFFFF"/>
        <w:spacing w:before="100" w:beforeAutospacing="1" w:after="100" w:afterAutospacing="1" w:line="300" w:lineRule="atLeast"/>
        <w:rPr>
          <w:rFonts w:ascii="Gill Sans MT" w:hAnsi="Gill Sans MT" w:cs="Arial"/>
          <w:color w:val="313131"/>
          <w:sz w:val="21"/>
          <w:szCs w:val="21"/>
        </w:rPr>
      </w:pPr>
      <w:r w:rsidRPr="002C5D80">
        <w:rPr>
          <w:rFonts w:ascii="Gill Sans MT" w:hAnsi="Gill Sans MT" w:cs="Arial"/>
          <w:color w:val="313131"/>
        </w:rPr>
        <w:t>E</w:t>
      </w:r>
      <w:bookmarkStart w:id="0" w:name="_GoBack"/>
      <w:bookmarkEnd w:id="0"/>
      <w:r w:rsidRPr="002C5D80">
        <w:rPr>
          <w:rFonts w:ascii="Gill Sans MT" w:hAnsi="Gill Sans MT" w:cs="Arial"/>
          <w:color w:val="313131"/>
        </w:rPr>
        <w:t>mployees by pay quartile                                          </w:t>
      </w:r>
      <w:r w:rsidRPr="002C5D80">
        <w:rPr>
          <w:rFonts w:ascii="Gill Sans MT" w:hAnsi="Gill Sans MT" w:cs="Arial"/>
          <w:color w:val="313131"/>
          <w:u w:val="single"/>
        </w:rPr>
        <w:t>Male</w:t>
      </w:r>
      <w:r w:rsidRPr="002C5D80">
        <w:rPr>
          <w:rFonts w:ascii="Gill Sans MT" w:hAnsi="Gill Sans MT" w:cs="Arial"/>
          <w:color w:val="313131"/>
        </w:rPr>
        <w:t>               </w:t>
      </w:r>
      <w:r w:rsidRPr="002C5D80">
        <w:rPr>
          <w:rFonts w:ascii="Gill Sans MT" w:hAnsi="Gill Sans MT" w:cs="Arial"/>
          <w:color w:val="313131"/>
          <w:u w:val="single"/>
        </w:rPr>
        <w:t>Female</w:t>
      </w:r>
      <w:r w:rsidRPr="002C5D80">
        <w:rPr>
          <w:rFonts w:ascii="Gill Sans MT" w:hAnsi="Gill Sans MT" w:cs="Arial"/>
          <w:color w:val="313131"/>
        </w:rPr>
        <w:t>                       </w:t>
      </w:r>
    </w:p>
    <w:p w14:paraId="47D89695" w14:textId="09133724" w:rsidR="002C5D80" w:rsidRPr="002C5D80" w:rsidRDefault="002C5D80" w:rsidP="002C5D80">
      <w:pPr>
        <w:shd w:val="clear" w:color="auto" w:fill="FFFFFF"/>
        <w:spacing w:line="300" w:lineRule="atLeast"/>
        <w:rPr>
          <w:rFonts w:ascii="Gill Sans MT" w:hAnsi="Gill Sans MT" w:cs="Arial"/>
          <w:color w:val="000000"/>
          <w:sz w:val="20"/>
          <w:szCs w:val="20"/>
        </w:rPr>
      </w:pPr>
      <w:r w:rsidRPr="002C5D80">
        <w:rPr>
          <w:rFonts w:ascii="Gill Sans MT" w:hAnsi="Gill Sans MT" w:cs="Arial"/>
          <w:color w:val="000000"/>
        </w:rPr>
        <w:t>          Upper quartile                                 11.9%             88.1%</w:t>
      </w:r>
    </w:p>
    <w:p w14:paraId="5B15AD3E" w14:textId="3D8470EE" w:rsidR="002C5D80" w:rsidRPr="002C5D80" w:rsidRDefault="002C5D80" w:rsidP="002C5D80">
      <w:pPr>
        <w:shd w:val="clear" w:color="auto" w:fill="FFFFFF"/>
        <w:spacing w:line="300" w:lineRule="atLeast"/>
        <w:rPr>
          <w:rFonts w:ascii="Gill Sans MT" w:hAnsi="Gill Sans MT" w:cs="Arial"/>
          <w:color w:val="000000"/>
          <w:sz w:val="20"/>
          <w:szCs w:val="20"/>
        </w:rPr>
      </w:pPr>
      <w:r w:rsidRPr="002C5D80">
        <w:rPr>
          <w:rFonts w:ascii="Gill Sans MT" w:hAnsi="Gill Sans MT" w:cs="Arial"/>
          <w:color w:val="000000"/>
        </w:rPr>
        <w:t xml:space="preserve">          Upper middle quartile                     </w:t>
      </w:r>
      <w:r>
        <w:rPr>
          <w:rFonts w:ascii="Gill Sans MT" w:hAnsi="Gill Sans MT" w:cs="Arial"/>
          <w:color w:val="000000"/>
        </w:rPr>
        <w:t xml:space="preserve">   </w:t>
      </w:r>
      <w:r w:rsidRPr="002C5D80">
        <w:rPr>
          <w:rFonts w:ascii="Gill Sans MT" w:hAnsi="Gill Sans MT" w:cs="Arial"/>
          <w:color w:val="000000"/>
        </w:rPr>
        <w:t>5.7%             94.3%</w:t>
      </w:r>
    </w:p>
    <w:p w14:paraId="69A3F891" w14:textId="75F5CD84" w:rsidR="002C5D80" w:rsidRPr="002C5D80" w:rsidRDefault="002C5D80" w:rsidP="002C5D80">
      <w:pPr>
        <w:shd w:val="clear" w:color="auto" w:fill="FFFFFF"/>
        <w:spacing w:line="300" w:lineRule="atLeast"/>
        <w:rPr>
          <w:rFonts w:ascii="Gill Sans MT" w:hAnsi="Gill Sans MT" w:cs="Arial"/>
          <w:color w:val="000000"/>
          <w:sz w:val="20"/>
          <w:szCs w:val="20"/>
        </w:rPr>
      </w:pPr>
      <w:r w:rsidRPr="002C5D80">
        <w:rPr>
          <w:rFonts w:ascii="Gill Sans MT" w:hAnsi="Gill Sans MT" w:cs="Arial"/>
          <w:color w:val="000000"/>
        </w:rPr>
        <w:t>          Lower middle quartile                    </w:t>
      </w:r>
      <w:r>
        <w:rPr>
          <w:rFonts w:ascii="Gill Sans MT" w:hAnsi="Gill Sans MT" w:cs="Arial"/>
          <w:color w:val="000000"/>
        </w:rPr>
        <w:t xml:space="preserve">  </w:t>
      </w:r>
      <w:r w:rsidRPr="002C5D80">
        <w:rPr>
          <w:rFonts w:ascii="Gill Sans MT" w:hAnsi="Gill Sans MT" w:cs="Arial"/>
          <w:color w:val="000000"/>
        </w:rPr>
        <w:t>  4.1%             95.9%</w:t>
      </w:r>
    </w:p>
    <w:p w14:paraId="5283B2BC" w14:textId="4C895001" w:rsidR="002C5D80" w:rsidRPr="002C5D80" w:rsidRDefault="002C5D80" w:rsidP="002C5D80">
      <w:pPr>
        <w:shd w:val="clear" w:color="auto" w:fill="FFFFFF"/>
        <w:spacing w:line="300" w:lineRule="atLeast"/>
        <w:rPr>
          <w:rFonts w:ascii="Gill Sans MT" w:hAnsi="Gill Sans MT" w:cs="Arial"/>
          <w:color w:val="000000"/>
          <w:sz w:val="20"/>
          <w:szCs w:val="20"/>
        </w:rPr>
      </w:pPr>
      <w:r w:rsidRPr="002C5D80">
        <w:rPr>
          <w:rFonts w:ascii="Gill Sans MT" w:hAnsi="Gill Sans MT" w:cs="Arial"/>
          <w:color w:val="000000"/>
        </w:rPr>
        <w:t xml:space="preserve">          Lower quartile                                 </w:t>
      </w:r>
      <w:r>
        <w:rPr>
          <w:rFonts w:ascii="Gill Sans MT" w:hAnsi="Gill Sans MT" w:cs="Arial"/>
          <w:color w:val="000000"/>
        </w:rPr>
        <w:t xml:space="preserve"> </w:t>
      </w:r>
      <w:r w:rsidRPr="002C5D80">
        <w:rPr>
          <w:rFonts w:ascii="Gill Sans MT" w:hAnsi="Gill Sans MT" w:cs="Arial"/>
          <w:color w:val="000000"/>
        </w:rPr>
        <w:t xml:space="preserve"> 2.6%          </w:t>
      </w:r>
      <w:r>
        <w:rPr>
          <w:rFonts w:ascii="Gill Sans MT" w:hAnsi="Gill Sans MT" w:cs="Arial"/>
          <w:color w:val="000000"/>
        </w:rPr>
        <w:t xml:space="preserve"> </w:t>
      </w:r>
      <w:r w:rsidRPr="002C5D80">
        <w:rPr>
          <w:rFonts w:ascii="Gill Sans MT" w:hAnsi="Gill Sans MT" w:cs="Arial"/>
          <w:color w:val="000000"/>
        </w:rPr>
        <w:t>  97.4%</w:t>
      </w:r>
    </w:p>
    <w:p w14:paraId="216CAAE5" w14:textId="77777777" w:rsidR="002C5D80" w:rsidRPr="002C5D80" w:rsidRDefault="002C5D80" w:rsidP="002C5D80">
      <w:pPr>
        <w:shd w:val="clear" w:color="auto" w:fill="FFFFFF"/>
        <w:spacing w:line="300" w:lineRule="atLeast"/>
        <w:rPr>
          <w:rFonts w:ascii="Gill Sans MT" w:hAnsi="Gill Sans MT" w:cs="Arial"/>
          <w:color w:val="000000"/>
          <w:sz w:val="20"/>
          <w:szCs w:val="20"/>
        </w:rPr>
      </w:pPr>
      <w:r w:rsidRPr="002C5D80">
        <w:rPr>
          <w:rFonts w:ascii="Gill Sans MT" w:hAnsi="Gill Sans MT" w:cs="Arial"/>
          <w:color w:val="000000"/>
        </w:rPr>
        <w:t>  </w:t>
      </w:r>
    </w:p>
    <w:p w14:paraId="0A41C96B" w14:textId="77777777" w:rsidR="00996365" w:rsidRDefault="00996365" w:rsidP="002C5D80">
      <w:pPr>
        <w:shd w:val="clear" w:color="auto" w:fill="FFFFFF"/>
        <w:spacing w:line="300" w:lineRule="atLeast"/>
        <w:rPr>
          <w:rFonts w:ascii="Gill Sans MT" w:hAnsi="Gill Sans MT" w:cs="Arial"/>
          <w:b/>
          <w:bCs/>
          <w:color w:val="000000"/>
        </w:rPr>
      </w:pPr>
    </w:p>
    <w:p w14:paraId="60E4C970" w14:textId="553FC3A7" w:rsidR="002C5D80" w:rsidRPr="002C5D80" w:rsidRDefault="002C5D80" w:rsidP="002C5D80">
      <w:pPr>
        <w:shd w:val="clear" w:color="auto" w:fill="FFFFFF"/>
        <w:spacing w:line="300" w:lineRule="atLeast"/>
        <w:rPr>
          <w:rFonts w:ascii="Gill Sans MT" w:hAnsi="Gill Sans MT" w:cs="Arial"/>
          <w:color w:val="000000"/>
          <w:sz w:val="20"/>
          <w:szCs w:val="20"/>
        </w:rPr>
      </w:pPr>
      <w:r w:rsidRPr="002C5D80">
        <w:rPr>
          <w:rFonts w:ascii="Gill Sans MT" w:hAnsi="Gill Sans MT" w:cs="Arial"/>
          <w:b/>
          <w:bCs/>
          <w:color w:val="000000"/>
        </w:rPr>
        <w:t>Size of the Organisation</w:t>
      </w:r>
    </w:p>
    <w:p w14:paraId="4410BB02" w14:textId="4ACF129A" w:rsidR="002C5D80" w:rsidRDefault="002C5D80" w:rsidP="002C5D80">
      <w:pPr>
        <w:shd w:val="clear" w:color="auto" w:fill="FFFFFF"/>
        <w:spacing w:line="300" w:lineRule="atLeast"/>
        <w:rPr>
          <w:rFonts w:ascii="Gill Sans MT" w:hAnsi="Gill Sans MT" w:cs="Arial"/>
          <w:color w:val="000000"/>
        </w:rPr>
      </w:pPr>
      <w:r w:rsidRPr="002C5D80">
        <w:rPr>
          <w:rFonts w:ascii="Gill Sans MT" w:hAnsi="Gill Sans MT" w:cs="Arial"/>
          <w:color w:val="000000"/>
        </w:rPr>
        <w:t xml:space="preserve">Number of employees within the organisation 2018-19:      47 </w:t>
      </w:r>
      <w:proofErr w:type="gramStart"/>
      <w:r w:rsidRPr="002C5D80">
        <w:rPr>
          <w:rFonts w:ascii="Gill Sans MT" w:hAnsi="Gill Sans MT" w:cs="Arial"/>
          <w:color w:val="000000"/>
        </w:rPr>
        <w:t>male</w:t>
      </w:r>
      <w:proofErr w:type="gramEnd"/>
      <w:r w:rsidRPr="002C5D80">
        <w:rPr>
          <w:rFonts w:ascii="Gill Sans MT" w:hAnsi="Gill Sans MT" w:cs="Arial"/>
          <w:color w:val="000000"/>
        </w:rPr>
        <w:t xml:space="preserve"> to 729 female</w:t>
      </w:r>
    </w:p>
    <w:p w14:paraId="0509686E" w14:textId="77777777" w:rsidR="002C5D80" w:rsidRPr="002C5D80" w:rsidRDefault="002C5D80" w:rsidP="002C5D80">
      <w:pPr>
        <w:shd w:val="clear" w:color="auto" w:fill="FFFFFF"/>
        <w:spacing w:line="300" w:lineRule="atLeast"/>
        <w:rPr>
          <w:rFonts w:ascii="Gill Sans MT" w:hAnsi="Gill Sans MT" w:cs="Arial"/>
          <w:color w:val="000000"/>
          <w:sz w:val="20"/>
          <w:szCs w:val="20"/>
        </w:rPr>
      </w:pPr>
    </w:p>
    <w:p w14:paraId="74D1E243" w14:textId="77777777" w:rsidR="002C5D80" w:rsidRDefault="002C5D80" w:rsidP="002C5D80">
      <w:pPr>
        <w:shd w:val="clear" w:color="auto" w:fill="FFFFFF"/>
        <w:spacing w:line="300" w:lineRule="atLeast"/>
        <w:rPr>
          <w:rFonts w:ascii="Gill Sans MT" w:hAnsi="Gill Sans MT" w:cs="Arial"/>
          <w:color w:val="000000"/>
        </w:rPr>
      </w:pPr>
      <w:r w:rsidRPr="002C5D80">
        <w:rPr>
          <w:rFonts w:ascii="Gill Sans MT" w:hAnsi="Gill Sans MT" w:cs="Arial"/>
          <w:color w:val="000000"/>
        </w:rPr>
        <w:t>In common with most educational organisations, the Diocese of Gloucester Academies Trust employs more female full</w:t>
      </w:r>
      <w:r>
        <w:rPr>
          <w:rFonts w:ascii="Gill Sans MT" w:hAnsi="Gill Sans MT" w:cs="Arial"/>
          <w:color w:val="000000"/>
        </w:rPr>
        <w:t>-</w:t>
      </w:r>
      <w:r w:rsidRPr="002C5D80">
        <w:rPr>
          <w:rFonts w:ascii="Gill Sans MT" w:hAnsi="Gill Sans MT" w:cs="Arial"/>
          <w:color w:val="000000"/>
        </w:rPr>
        <w:t xml:space="preserve">time equivalent employees than male.  We are confident that men and women are paid equally for equivalent jobs.  </w:t>
      </w:r>
    </w:p>
    <w:p w14:paraId="29A36E9B" w14:textId="77777777" w:rsidR="002C5D80" w:rsidRDefault="002C5D80" w:rsidP="002C5D80">
      <w:pPr>
        <w:shd w:val="clear" w:color="auto" w:fill="FFFFFF"/>
        <w:spacing w:line="300" w:lineRule="atLeast"/>
        <w:rPr>
          <w:rFonts w:ascii="Gill Sans MT" w:hAnsi="Gill Sans MT" w:cs="Arial"/>
          <w:color w:val="000000"/>
        </w:rPr>
      </w:pPr>
    </w:p>
    <w:p w14:paraId="3AD02675" w14:textId="77777777" w:rsidR="002C5D80" w:rsidRDefault="002C5D80" w:rsidP="002C5D80">
      <w:pPr>
        <w:shd w:val="clear" w:color="auto" w:fill="FFFFFF"/>
        <w:spacing w:line="300" w:lineRule="atLeast"/>
        <w:rPr>
          <w:rFonts w:ascii="Gill Sans MT" w:hAnsi="Gill Sans MT" w:cs="Arial"/>
          <w:color w:val="000000"/>
        </w:rPr>
      </w:pPr>
      <w:r w:rsidRPr="002C5D80">
        <w:rPr>
          <w:rFonts w:ascii="Gill Sans MT" w:hAnsi="Gill Sans MT" w:cs="Arial"/>
          <w:color w:val="000000"/>
        </w:rPr>
        <w:t xml:space="preserve">The pay gap has decreased this year which reflects the increase in salaries for those in the lowest quartile which are predominantly female.  The Trust has recognised, in full, the recommended salary </w:t>
      </w:r>
      <w:proofErr w:type="gramStart"/>
      <w:r w:rsidRPr="002C5D80">
        <w:rPr>
          <w:rFonts w:ascii="Gill Sans MT" w:hAnsi="Gill Sans MT" w:cs="Arial"/>
          <w:color w:val="000000"/>
        </w:rPr>
        <w:t>increase</w:t>
      </w:r>
      <w:proofErr w:type="gramEnd"/>
      <w:r w:rsidRPr="002C5D80">
        <w:rPr>
          <w:rFonts w:ascii="Gill Sans MT" w:hAnsi="Gill Sans MT" w:cs="Arial"/>
          <w:color w:val="000000"/>
        </w:rPr>
        <w:t xml:space="preserve"> for those staff paid on the NJC scales.  </w:t>
      </w:r>
    </w:p>
    <w:p w14:paraId="279F1A82" w14:textId="77777777" w:rsidR="002C5D80" w:rsidRDefault="002C5D80" w:rsidP="002C5D80">
      <w:pPr>
        <w:shd w:val="clear" w:color="auto" w:fill="FFFFFF"/>
        <w:spacing w:line="300" w:lineRule="atLeast"/>
        <w:rPr>
          <w:rFonts w:ascii="Gill Sans MT" w:hAnsi="Gill Sans MT" w:cs="Arial"/>
          <w:color w:val="000000"/>
        </w:rPr>
      </w:pPr>
    </w:p>
    <w:p w14:paraId="50E31617" w14:textId="5E6018AA" w:rsidR="002C5D80" w:rsidRPr="002C5D80" w:rsidRDefault="002C5D80" w:rsidP="002C5D80">
      <w:pPr>
        <w:shd w:val="clear" w:color="auto" w:fill="FFFFFF"/>
        <w:spacing w:line="300" w:lineRule="atLeast"/>
        <w:rPr>
          <w:rFonts w:ascii="Gill Sans MT" w:hAnsi="Gill Sans MT" w:cs="Arial"/>
          <w:color w:val="000000"/>
          <w:sz w:val="20"/>
          <w:szCs w:val="20"/>
        </w:rPr>
      </w:pPr>
      <w:r w:rsidRPr="002C5D80">
        <w:rPr>
          <w:rFonts w:ascii="Gill Sans MT" w:hAnsi="Gill Sans MT" w:cs="Arial"/>
          <w:color w:val="000000"/>
        </w:rPr>
        <w:t>The Diocese of Gloucester Academies Trust is committed to the promotion of equality of opportunity and choice for employees and supports fair treatment of all staff regardless of gender through robust and transparent recruitment processes, pay policy and professional development.</w:t>
      </w:r>
    </w:p>
    <w:p w14:paraId="35C7BCDD" w14:textId="77777777" w:rsidR="00AE48FF" w:rsidRDefault="00AE48FF" w:rsidP="002C5D80">
      <w:pPr>
        <w:pStyle w:val="NormalWeb"/>
        <w:shd w:val="clear" w:color="auto" w:fill="FFFFFF"/>
        <w:spacing w:before="0" w:beforeAutospacing="0" w:after="0" w:afterAutospacing="0" w:line="300" w:lineRule="atLeast"/>
      </w:pPr>
    </w:p>
    <w:sectPr w:rsidR="00AE48FF" w:rsidSect="00284486">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B88"/>
    <w:multiLevelType w:val="multilevel"/>
    <w:tmpl w:val="1FFA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477CB"/>
    <w:multiLevelType w:val="multilevel"/>
    <w:tmpl w:val="131A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0063F"/>
    <w:multiLevelType w:val="hybridMultilevel"/>
    <w:tmpl w:val="9A1CAB3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071C40"/>
    <w:multiLevelType w:val="hybridMultilevel"/>
    <w:tmpl w:val="D8E8DE7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16230F"/>
    <w:multiLevelType w:val="hybridMultilevel"/>
    <w:tmpl w:val="52F4E24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0F483A"/>
    <w:multiLevelType w:val="multilevel"/>
    <w:tmpl w:val="4A18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5326F"/>
    <w:multiLevelType w:val="multilevel"/>
    <w:tmpl w:val="28CEF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8B71BA"/>
    <w:multiLevelType w:val="multilevel"/>
    <w:tmpl w:val="8554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397A1C"/>
    <w:multiLevelType w:val="hybridMultilevel"/>
    <w:tmpl w:val="913C1F68"/>
    <w:lvl w:ilvl="0" w:tplc="08090005">
      <w:start w:val="1"/>
      <w:numFmt w:val="bullet"/>
      <w:lvlText w:val=""/>
      <w:lvlJc w:val="left"/>
      <w:pPr>
        <w:ind w:left="1509" w:hanging="360"/>
      </w:pPr>
      <w:rPr>
        <w:rFonts w:ascii="Wingdings" w:hAnsi="Wingdings"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9" w15:restartNumberingAfterBreak="0">
    <w:nsid w:val="421279C6"/>
    <w:multiLevelType w:val="multilevel"/>
    <w:tmpl w:val="E996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AC65E6"/>
    <w:multiLevelType w:val="multilevel"/>
    <w:tmpl w:val="C4C0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0E23AB"/>
    <w:multiLevelType w:val="multilevel"/>
    <w:tmpl w:val="0D084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411071"/>
    <w:multiLevelType w:val="multilevel"/>
    <w:tmpl w:val="E2AA3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A27FE8"/>
    <w:multiLevelType w:val="multilevel"/>
    <w:tmpl w:val="9146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7C37CC"/>
    <w:multiLevelType w:val="multilevel"/>
    <w:tmpl w:val="9100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3"/>
  </w:num>
  <w:num w:numId="4">
    <w:abstractNumId w:val="7"/>
  </w:num>
  <w:num w:numId="5">
    <w:abstractNumId w:val="10"/>
  </w:num>
  <w:num w:numId="6">
    <w:abstractNumId w:val="9"/>
  </w:num>
  <w:num w:numId="7">
    <w:abstractNumId w:val="0"/>
  </w:num>
  <w:num w:numId="8">
    <w:abstractNumId w:val="5"/>
  </w:num>
  <w:num w:numId="9">
    <w:abstractNumId w:val="8"/>
  </w:num>
  <w:num w:numId="10">
    <w:abstractNumId w:val="12"/>
  </w:num>
  <w:num w:numId="11">
    <w:abstractNumId w:val="2"/>
  </w:num>
  <w:num w:numId="12">
    <w:abstractNumId w:val="4"/>
  </w:num>
  <w:num w:numId="13">
    <w:abstractNumId w:val="3"/>
  </w:num>
  <w:num w:numId="14">
    <w:abstractNumId w:val="6"/>
  </w:num>
  <w:num w:numId="15">
    <w:abstractNumId w:val="1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FF"/>
    <w:rsid w:val="002574DF"/>
    <w:rsid w:val="00284486"/>
    <w:rsid w:val="002C5D80"/>
    <w:rsid w:val="006C076F"/>
    <w:rsid w:val="00996365"/>
    <w:rsid w:val="00AE48FF"/>
    <w:rsid w:val="00D4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3C29"/>
  <w15:chartTrackingRefBased/>
  <w15:docId w15:val="{A56BDDED-2A26-4935-A74B-BE41DA3F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48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4486"/>
    <w:pPr>
      <w:spacing w:before="100" w:beforeAutospacing="1" w:after="100" w:afterAutospacing="1"/>
    </w:pPr>
  </w:style>
  <w:style w:type="character" w:styleId="Strong">
    <w:name w:val="Strong"/>
    <w:basedOn w:val="DefaultParagraphFont"/>
    <w:uiPriority w:val="22"/>
    <w:qFormat/>
    <w:rsid w:val="00284486"/>
    <w:rPr>
      <w:b/>
      <w:bCs/>
    </w:rPr>
  </w:style>
  <w:style w:type="character" w:styleId="Hyperlink">
    <w:name w:val="Hyperlink"/>
    <w:basedOn w:val="DefaultParagraphFont"/>
    <w:uiPriority w:val="99"/>
    <w:unhideWhenUsed/>
    <w:rsid w:val="00284486"/>
    <w:rPr>
      <w:color w:val="0000FF"/>
      <w:u w:val="single"/>
    </w:rPr>
  </w:style>
  <w:style w:type="character" w:styleId="Emphasis">
    <w:name w:val="Emphasis"/>
    <w:basedOn w:val="DefaultParagraphFont"/>
    <w:uiPriority w:val="20"/>
    <w:qFormat/>
    <w:rsid w:val="00284486"/>
    <w:rPr>
      <w:i/>
      <w:iCs/>
    </w:rPr>
  </w:style>
  <w:style w:type="paragraph" w:styleId="ListParagraph">
    <w:name w:val="List Paragraph"/>
    <w:basedOn w:val="Normal"/>
    <w:uiPriority w:val="34"/>
    <w:qFormat/>
    <w:rsid w:val="00284486"/>
    <w:pPr>
      <w:ind w:left="720"/>
      <w:contextualSpacing/>
    </w:pPr>
  </w:style>
  <w:style w:type="character" w:styleId="UnresolvedMention">
    <w:name w:val="Unresolved Mention"/>
    <w:basedOn w:val="DefaultParagraphFont"/>
    <w:uiPriority w:val="99"/>
    <w:semiHidden/>
    <w:unhideWhenUsed/>
    <w:rsid w:val="00284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7441">
      <w:bodyDiv w:val="1"/>
      <w:marLeft w:val="0"/>
      <w:marRight w:val="0"/>
      <w:marTop w:val="0"/>
      <w:marBottom w:val="0"/>
      <w:divBdr>
        <w:top w:val="none" w:sz="0" w:space="0" w:color="auto"/>
        <w:left w:val="none" w:sz="0" w:space="0" w:color="auto"/>
        <w:bottom w:val="none" w:sz="0" w:space="0" w:color="auto"/>
        <w:right w:val="none" w:sz="0" w:space="0" w:color="auto"/>
      </w:divBdr>
    </w:div>
    <w:div w:id="424612467">
      <w:bodyDiv w:val="1"/>
      <w:marLeft w:val="0"/>
      <w:marRight w:val="0"/>
      <w:marTop w:val="0"/>
      <w:marBottom w:val="0"/>
      <w:divBdr>
        <w:top w:val="none" w:sz="0" w:space="0" w:color="auto"/>
        <w:left w:val="none" w:sz="0" w:space="0" w:color="auto"/>
        <w:bottom w:val="none" w:sz="0" w:space="0" w:color="auto"/>
        <w:right w:val="none" w:sz="0" w:space="0" w:color="auto"/>
      </w:divBdr>
    </w:div>
    <w:div w:id="1302540767">
      <w:bodyDiv w:val="1"/>
      <w:marLeft w:val="0"/>
      <w:marRight w:val="0"/>
      <w:marTop w:val="0"/>
      <w:marBottom w:val="0"/>
      <w:divBdr>
        <w:top w:val="none" w:sz="0" w:space="0" w:color="auto"/>
        <w:left w:val="none" w:sz="0" w:space="0" w:color="auto"/>
        <w:bottom w:val="none" w:sz="0" w:space="0" w:color="auto"/>
        <w:right w:val="none" w:sz="0" w:space="0" w:color="auto"/>
      </w:divBdr>
    </w:div>
    <w:div w:id="139370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Howie</dc:creator>
  <cp:keywords/>
  <dc:description/>
  <cp:lastModifiedBy>Rachel Howie</cp:lastModifiedBy>
  <cp:revision>2</cp:revision>
  <dcterms:created xsi:type="dcterms:W3CDTF">2019-08-23T12:07:00Z</dcterms:created>
  <dcterms:modified xsi:type="dcterms:W3CDTF">2019-08-23T12:07:00Z</dcterms:modified>
</cp:coreProperties>
</file>